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10" w:rsidRDefault="004A5110" w:rsidP="004A5110">
      <w:pPr>
        <w:spacing w:line="276" w:lineRule="auto"/>
        <w:ind w:left="744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ANEXA</w:t>
      </w:r>
    </w:p>
    <w:p w:rsidR="004A5110" w:rsidRDefault="004A5110" w:rsidP="002845E7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4A5110" w:rsidRDefault="004A5110" w:rsidP="002845E7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2845E7" w:rsidRDefault="002845E7" w:rsidP="002845E7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CARACTERISTICI TEHNICE</w:t>
      </w:r>
    </w:p>
    <w:p w:rsidR="002845E7" w:rsidRDefault="002845E7" w:rsidP="002845E7">
      <w:pPr>
        <w:pStyle w:val="Heading2"/>
        <w:spacing w:line="276" w:lineRule="auto"/>
        <w:ind w:left="360"/>
        <w:rPr>
          <w:b w:val="0"/>
        </w:rPr>
      </w:pPr>
      <w:r>
        <w:t>Racorduri compresiune (mufă, cot, teu, dop)</w:t>
      </w:r>
    </w:p>
    <w:p w:rsidR="002845E7" w:rsidRDefault="002845E7" w:rsidP="002845E7">
      <w:pPr>
        <w:spacing w:line="276" w:lineRule="auto"/>
        <w:ind w:left="720"/>
        <w:rPr>
          <w:b/>
          <w:bCs/>
        </w:rPr>
      </w:pPr>
    </w:p>
    <w:p w:rsidR="002845E7" w:rsidRDefault="002845E7" w:rsidP="002845E7">
      <w:pPr>
        <w:spacing w:line="276" w:lineRule="auto"/>
        <w:ind w:left="720"/>
        <w:rPr>
          <w:b/>
          <w:bCs/>
        </w:rPr>
      </w:pPr>
    </w:p>
    <w:p w:rsidR="002845E7" w:rsidRDefault="002845E7" w:rsidP="002845E7">
      <w:pPr>
        <w:pStyle w:val="Frspaiere"/>
        <w:spacing w:line="276" w:lineRule="auto"/>
        <w:ind w:left="360"/>
        <w:rPr>
          <w:b/>
        </w:rPr>
      </w:pPr>
      <w:r>
        <w:rPr>
          <w:b/>
        </w:rPr>
        <w:t>ELEMENTE GENERALE</w:t>
      </w:r>
    </w:p>
    <w:p w:rsidR="002845E7" w:rsidRDefault="002845E7" w:rsidP="002845E7">
      <w:pPr>
        <w:pStyle w:val="Frspaiere"/>
        <w:spacing w:line="276" w:lineRule="auto"/>
        <w:ind w:left="360"/>
        <w:rPr>
          <w:b/>
        </w:rPr>
      </w:pPr>
    </w:p>
    <w:p w:rsidR="002845E7" w:rsidRDefault="002845E7" w:rsidP="002845E7">
      <w:pPr>
        <w:pStyle w:val="Frspaiere"/>
        <w:spacing w:line="276" w:lineRule="auto"/>
        <w:ind w:left="360"/>
        <w:jc w:val="both"/>
      </w:pPr>
      <w:r>
        <w:rPr>
          <w:rStyle w:val="Strong"/>
        </w:rPr>
        <w:t>Racordurile (mufă, cot, teu, dop) sunt fitinguri de îmbinare sau de ramificație prin compresiune și/sau filetate, pentru țevile din PEHD</w:t>
      </w:r>
      <w:r>
        <w:t>. Acestea sunt utilizate în instalațiile de alimentare cu apă rece, rețele exterioare sau instalații interioare aferente clădirilor.</w:t>
      </w:r>
    </w:p>
    <w:p w:rsidR="002845E7" w:rsidRDefault="002845E7" w:rsidP="002845E7">
      <w:pPr>
        <w:pStyle w:val="Frspaiere"/>
        <w:spacing w:line="276" w:lineRule="auto"/>
        <w:ind w:left="360"/>
        <w:jc w:val="both"/>
      </w:pPr>
    </w:p>
    <w:p w:rsidR="002845E7" w:rsidRDefault="002845E7" w:rsidP="002845E7">
      <w:pPr>
        <w:spacing w:line="276" w:lineRule="auto"/>
        <w:ind w:left="360"/>
      </w:pPr>
      <w:r>
        <w:t>Fitingul este alcătuit din urmatoarele elemente principale:</w:t>
      </w:r>
      <w:r>
        <w:br/>
        <w:t>- corp racord;</w:t>
      </w:r>
      <w:r>
        <w:br/>
        <w:t>- mufă de strângere;</w:t>
      </w:r>
      <w:r>
        <w:br/>
        <w:t>- colier de compresie;</w:t>
      </w:r>
      <w:r>
        <w:br/>
        <w:t>- bucșă de presare pe țeavă PEHD;</w:t>
      </w:r>
      <w:r>
        <w:br/>
        <w:t>- O-ring, pentru etanșare.</w:t>
      </w:r>
    </w:p>
    <w:p w:rsidR="002845E7" w:rsidRDefault="002845E7" w:rsidP="002845E7">
      <w:pPr>
        <w:spacing w:line="276" w:lineRule="auto"/>
        <w:ind w:left="360"/>
      </w:pPr>
    </w:p>
    <w:p w:rsidR="002845E7" w:rsidRDefault="002845E7" w:rsidP="002845E7">
      <w:pPr>
        <w:spacing w:line="276" w:lineRule="auto"/>
        <w:ind w:left="360"/>
        <w:rPr>
          <w:rFonts w:eastAsia="Calibri"/>
          <w:b/>
        </w:rPr>
      </w:pPr>
      <w:r>
        <w:rPr>
          <w:rFonts w:eastAsia="Calibri"/>
          <w:b/>
        </w:rPr>
        <w:t xml:space="preserve">PARAMETRII TEHNICI ȘI FUNCȚIONALI </w:t>
      </w:r>
    </w:p>
    <w:p w:rsidR="002845E7" w:rsidRDefault="002845E7" w:rsidP="002845E7">
      <w:pPr>
        <w:spacing w:line="276" w:lineRule="auto"/>
        <w:ind w:left="360"/>
        <w:rPr>
          <w:rFonts w:eastAsia="Calibri"/>
          <w:b/>
        </w:rPr>
      </w:pPr>
    </w:p>
    <w:p w:rsidR="002845E7" w:rsidRDefault="002845E7" w:rsidP="002845E7">
      <w:pPr>
        <w:widowControl w:val="0"/>
        <w:autoSpaceDE w:val="0"/>
        <w:spacing w:line="276" w:lineRule="auto"/>
        <w:ind w:left="360"/>
      </w:pPr>
      <w:r>
        <w:rPr>
          <w:rFonts w:eastAsia="Calibri"/>
          <w:color w:val="000000"/>
          <w:spacing w:val="-2"/>
        </w:rPr>
        <w:t>Corp</w:t>
      </w:r>
      <w:r>
        <w:rPr>
          <w:rFonts w:eastAsia="Calibri"/>
          <w:color w:val="000000"/>
        </w:rPr>
        <w:t>:</w:t>
      </w:r>
      <w:r>
        <w:rPr>
          <w:rFonts w:eastAsia="Calibri"/>
          <w:color w:val="000000"/>
          <w:spacing w:val="-4"/>
        </w:rPr>
        <w:t xml:space="preserve"> </w:t>
      </w:r>
      <w:r>
        <w:rPr>
          <w:rFonts w:eastAsia="Calibri"/>
          <w:color w:val="000000"/>
        </w:rPr>
        <w:t>Polipropilenă,</w:t>
      </w:r>
      <w:r>
        <w:rPr>
          <w:rFonts w:eastAsia="Calibri"/>
          <w:color w:val="000000"/>
          <w:spacing w:val="-4"/>
        </w:rPr>
        <w:t xml:space="preserve"> </w:t>
      </w:r>
      <w:r>
        <w:rPr>
          <w:rFonts w:eastAsia="Calibri"/>
          <w:color w:val="000000"/>
          <w:spacing w:val="-1"/>
        </w:rPr>
        <w:t>copolimer</w:t>
      </w:r>
      <w:r>
        <w:rPr>
          <w:rFonts w:eastAsia="Calibri"/>
          <w:color w:val="000000"/>
          <w:spacing w:val="-4"/>
        </w:rPr>
        <w:t xml:space="preserve"> </w:t>
      </w:r>
      <w:r>
        <w:rPr>
          <w:rFonts w:eastAsia="Calibri"/>
          <w:color w:val="000000"/>
          <w:spacing w:val="-2"/>
        </w:rPr>
        <w:t>de</w:t>
      </w:r>
      <w:r>
        <w:rPr>
          <w:rFonts w:eastAsia="Calibri"/>
          <w:color w:val="000000"/>
        </w:rPr>
        <w:t xml:space="preserve"> înaltă</w:t>
      </w:r>
      <w:r>
        <w:rPr>
          <w:rFonts w:eastAsia="Calibri"/>
          <w:color w:val="000000"/>
          <w:spacing w:val="-7"/>
        </w:rPr>
        <w:t xml:space="preserve"> </w:t>
      </w:r>
      <w:r>
        <w:rPr>
          <w:rFonts w:eastAsia="Calibri"/>
          <w:color w:val="000000"/>
        </w:rPr>
        <w:t>calitate.</w:t>
      </w:r>
    </w:p>
    <w:p w:rsidR="002845E7" w:rsidRDefault="002845E7" w:rsidP="002845E7">
      <w:pPr>
        <w:widowControl w:val="0"/>
        <w:autoSpaceDE w:val="0"/>
        <w:spacing w:line="276" w:lineRule="auto"/>
        <w:ind w:left="360"/>
      </w:pPr>
      <w:r>
        <w:rPr>
          <w:rFonts w:eastAsia="Calibri"/>
          <w:color w:val="000000"/>
        </w:rPr>
        <w:t>G</w:t>
      </w:r>
      <w:r>
        <w:rPr>
          <w:rFonts w:eastAsia="Calibri"/>
          <w:color w:val="000000"/>
          <w:spacing w:val="3"/>
        </w:rPr>
        <w:t>arnitură</w:t>
      </w:r>
      <w:r>
        <w:rPr>
          <w:rFonts w:eastAsia="Calibri"/>
          <w:color w:val="000000"/>
          <w:spacing w:val="4"/>
        </w:rPr>
        <w:t xml:space="preserve"> </w:t>
      </w:r>
      <w:r>
        <w:rPr>
          <w:rFonts w:eastAsia="Calibri"/>
          <w:color w:val="000000"/>
          <w:spacing w:val="3"/>
        </w:rPr>
        <w:t>inel</w:t>
      </w:r>
      <w:r>
        <w:rPr>
          <w:rFonts w:eastAsia="Calibri"/>
          <w:color w:val="000000"/>
          <w:spacing w:val="7"/>
        </w:rPr>
        <w:t xml:space="preserve"> </w:t>
      </w:r>
      <w:r>
        <w:rPr>
          <w:rFonts w:eastAsia="Calibri"/>
          <w:color w:val="000000"/>
          <w:spacing w:val="3"/>
        </w:rPr>
        <w:t>despicat: polioacetal.</w:t>
      </w:r>
    </w:p>
    <w:p w:rsidR="002845E7" w:rsidRDefault="002845E7" w:rsidP="002845E7">
      <w:pPr>
        <w:widowControl w:val="0"/>
        <w:autoSpaceDE w:val="0"/>
        <w:spacing w:before="50" w:line="276" w:lineRule="auto"/>
        <w:ind w:left="360"/>
      </w:pPr>
      <w:r>
        <w:rPr>
          <w:rFonts w:eastAsia="Calibri"/>
          <w:color w:val="000000"/>
          <w:spacing w:val="1"/>
        </w:rPr>
        <w:t>I</w:t>
      </w:r>
      <w:r>
        <w:rPr>
          <w:rFonts w:eastAsia="Calibri"/>
          <w:color w:val="000000"/>
          <w:spacing w:val="-2"/>
        </w:rPr>
        <w:t>nel</w:t>
      </w:r>
      <w:r>
        <w:rPr>
          <w:rFonts w:eastAsia="Calibri"/>
          <w:color w:val="000000"/>
          <w:spacing w:val="4"/>
        </w:rPr>
        <w:t xml:space="preserve"> </w:t>
      </w:r>
      <w:r>
        <w:rPr>
          <w:rFonts w:eastAsia="Calibri"/>
          <w:color w:val="000000"/>
          <w:spacing w:val="-1"/>
        </w:rPr>
        <w:t>ran</w:t>
      </w:r>
      <w:r>
        <w:rPr>
          <w:rFonts w:eastAsia="Calibri"/>
          <w:color w:val="000000"/>
          <w:spacing w:val="1"/>
        </w:rPr>
        <w:t>f</w:t>
      </w:r>
      <w:r>
        <w:rPr>
          <w:rFonts w:eastAsia="Calibri"/>
          <w:color w:val="000000"/>
          <w:spacing w:val="-1"/>
        </w:rPr>
        <w:t>orsare</w:t>
      </w:r>
      <w:r>
        <w:rPr>
          <w:rFonts w:eastAsia="Calibri"/>
          <w:color w:val="000000"/>
        </w:rPr>
        <w:t>:</w:t>
      </w:r>
      <w:r>
        <w:rPr>
          <w:rFonts w:eastAsia="Calibri"/>
          <w:color w:val="000000"/>
          <w:spacing w:val="2"/>
        </w:rPr>
        <w:t xml:space="preserve"> </w:t>
      </w:r>
      <w:r>
        <w:rPr>
          <w:rFonts w:eastAsia="Calibri"/>
          <w:color w:val="000000"/>
          <w:spacing w:val="-1"/>
        </w:rPr>
        <w:t>oțel</w:t>
      </w:r>
      <w:r>
        <w:rPr>
          <w:rFonts w:eastAsia="Calibri"/>
          <w:color w:val="000000"/>
          <w:spacing w:val="-3"/>
        </w:rPr>
        <w:t xml:space="preserve"> </w:t>
      </w:r>
      <w:r>
        <w:rPr>
          <w:rFonts w:eastAsia="Calibri"/>
          <w:color w:val="000000"/>
        </w:rPr>
        <w:t>inoxidabil pentru filetele interioare.</w:t>
      </w:r>
    </w:p>
    <w:p w:rsidR="002845E7" w:rsidRDefault="002845E7" w:rsidP="002845E7">
      <w:pPr>
        <w:widowControl w:val="0"/>
        <w:autoSpaceDE w:val="0"/>
        <w:spacing w:line="276" w:lineRule="auto"/>
        <w:ind w:left="360"/>
        <w:jc w:val="both"/>
      </w:pPr>
      <w:r>
        <w:rPr>
          <w:rFonts w:eastAsia="Calibri"/>
          <w:color w:val="000000"/>
          <w:spacing w:val="4"/>
        </w:rPr>
        <w:t>Garnitură tip O-</w:t>
      </w:r>
      <w:r>
        <w:rPr>
          <w:rFonts w:eastAsia="Calibri"/>
          <w:spacing w:val="4"/>
        </w:rPr>
        <w:t>ring:</w:t>
      </w:r>
      <w:r>
        <w:rPr>
          <w:rFonts w:eastAsia="Calibri"/>
        </w:rPr>
        <w:t xml:space="preserve"> </w:t>
      </w:r>
      <w:r>
        <w:rPr>
          <w:rFonts w:eastAsia="Calibri"/>
          <w:spacing w:val="3"/>
        </w:rPr>
        <w:t>cauciuc</w:t>
      </w:r>
      <w:r>
        <w:rPr>
          <w:rFonts w:eastAsia="Calibri"/>
          <w:spacing w:val="18"/>
        </w:rPr>
        <w:t xml:space="preserve"> </w:t>
      </w:r>
      <w:r>
        <w:rPr>
          <w:rFonts w:eastAsia="Calibri"/>
          <w:spacing w:val="5"/>
        </w:rPr>
        <w:t>nitrilic</w:t>
      </w:r>
      <w:r>
        <w:rPr>
          <w:rFonts w:eastAsia="Calibri"/>
          <w:spacing w:val="16"/>
        </w:rPr>
        <w:t xml:space="preserve"> </w:t>
      </w:r>
      <w:r>
        <w:rPr>
          <w:rFonts w:eastAsia="Calibri"/>
          <w:spacing w:val="2"/>
        </w:rPr>
        <w:t xml:space="preserve">NBR, </w:t>
      </w:r>
      <w:r>
        <w:rPr>
          <w:rFonts w:eastAsia="Calibri"/>
          <w:spacing w:val="5"/>
        </w:rPr>
        <w:t>sau</w:t>
      </w:r>
      <w:r>
        <w:rPr>
          <w:rFonts w:eastAsia="Calibri"/>
          <w:spacing w:val="4"/>
        </w:rPr>
        <w:t xml:space="preserve"> </w:t>
      </w:r>
      <w:r>
        <w:rPr>
          <w:rFonts w:eastAsia="Calibri"/>
          <w:spacing w:val="1"/>
        </w:rPr>
        <w:t>EPDM,</w:t>
      </w:r>
      <w:r>
        <w:rPr>
          <w:rFonts w:eastAsia="Calibri"/>
          <w:spacing w:val="23"/>
        </w:rPr>
        <w:t xml:space="preserve"> sau </w:t>
      </w:r>
      <w:r>
        <w:rPr>
          <w:rFonts w:eastAsia="Calibri"/>
          <w:spacing w:val="2"/>
        </w:rPr>
        <w:t>FPM</w:t>
      </w:r>
      <w:r>
        <w:rPr>
          <w:rFonts w:eastAsia="Calibri"/>
          <w:spacing w:val="4"/>
        </w:rPr>
        <w:t>.</w:t>
      </w:r>
    </w:p>
    <w:p w:rsidR="002845E7" w:rsidRDefault="002845E7" w:rsidP="002845E7">
      <w:pPr>
        <w:widowControl w:val="0"/>
        <w:autoSpaceDE w:val="0"/>
        <w:spacing w:line="276" w:lineRule="auto"/>
        <w:ind w:left="360"/>
        <w:jc w:val="both"/>
        <w:rPr>
          <w:rFonts w:eastAsia="Calibri"/>
          <w:color w:val="000000"/>
          <w:spacing w:val="4"/>
        </w:rPr>
      </w:pPr>
      <w:r>
        <w:rPr>
          <w:rFonts w:eastAsia="Calibri"/>
          <w:color w:val="000000"/>
          <w:spacing w:val="4"/>
        </w:rPr>
        <w:t xml:space="preserve">Presiune nominală 16 bar. </w:t>
      </w:r>
    </w:p>
    <w:p w:rsidR="002845E7" w:rsidRDefault="002845E7" w:rsidP="00E9147E">
      <w:pPr>
        <w:widowControl w:val="0"/>
        <w:autoSpaceDE w:val="0"/>
        <w:spacing w:line="276" w:lineRule="auto"/>
        <w:ind w:firstLine="360"/>
        <w:jc w:val="both"/>
        <w:rPr>
          <w:rFonts w:eastAsia="Calibri"/>
          <w:color w:val="000000"/>
          <w:spacing w:val="4"/>
        </w:rPr>
      </w:pPr>
      <w:r>
        <w:rPr>
          <w:rFonts w:eastAsia="Calibri"/>
          <w:color w:val="000000"/>
          <w:spacing w:val="4"/>
        </w:rPr>
        <w:t>Rezistență la temperatură: -20 - +65 grade Celsius.</w:t>
      </w:r>
    </w:p>
    <w:p w:rsidR="002845E7" w:rsidRDefault="002845E7" w:rsidP="002845E7">
      <w:pPr>
        <w:widowControl w:val="0"/>
        <w:autoSpaceDE w:val="0"/>
        <w:spacing w:line="276" w:lineRule="auto"/>
        <w:ind w:left="360"/>
        <w:rPr>
          <w:rFonts w:eastAsia="Calibri"/>
          <w:color w:val="000000"/>
          <w:spacing w:val="4"/>
        </w:rPr>
      </w:pPr>
      <w:r>
        <w:rPr>
          <w:rFonts w:eastAsia="Calibri"/>
          <w:color w:val="000000"/>
          <w:spacing w:val="4"/>
        </w:rPr>
        <w:t>Sistem de etanșare tip hidraulic.</w:t>
      </w:r>
    </w:p>
    <w:p w:rsidR="002845E7" w:rsidRDefault="002845E7" w:rsidP="002845E7">
      <w:pPr>
        <w:widowControl w:val="0"/>
        <w:autoSpaceDE w:val="0"/>
        <w:spacing w:line="276" w:lineRule="auto"/>
        <w:ind w:left="360"/>
        <w:rPr>
          <w:rFonts w:eastAsia="Calibri"/>
          <w:color w:val="000000"/>
          <w:spacing w:val="4"/>
        </w:rPr>
      </w:pPr>
    </w:p>
    <w:p w:rsidR="002845E7" w:rsidRDefault="002845E7" w:rsidP="002845E7">
      <w:pPr>
        <w:spacing w:line="276" w:lineRule="auto"/>
        <w:ind w:left="360"/>
        <w:rPr>
          <w:rFonts w:eastAsia="Calibri"/>
          <w:b/>
        </w:rPr>
      </w:pPr>
      <w:r>
        <w:rPr>
          <w:rFonts w:eastAsia="Calibri"/>
          <w:b/>
        </w:rPr>
        <w:t xml:space="preserve">SPECIFICAȚII DE PERFORMANȚĂ </w:t>
      </w:r>
    </w:p>
    <w:p w:rsidR="002845E7" w:rsidRDefault="002845E7" w:rsidP="002845E7">
      <w:pPr>
        <w:spacing w:line="276" w:lineRule="auto"/>
        <w:ind w:left="360"/>
        <w:rPr>
          <w:rFonts w:eastAsia="Calibri"/>
          <w:b/>
        </w:rPr>
      </w:pPr>
    </w:p>
    <w:p w:rsidR="002845E7" w:rsidRDefault="002845E7" w:rsidP="002845E7">
      <w:pPr>
        <w:widowControl w:val="0"/>
        <w:autoSpaceDE w:val="0"/>
        <w:spacing w:line="276" w:lineRule="auto"/>
        <w:ind w:left="360"/>
        <w:jc w:val="both"/>
        <w:rPr>
          <w:rFonts w:eastAsia="Calibri"/>
          <w:spacing w:val="4"/>
        </w:rPr>
      </w:pPr>
      <w:r>
        <w:rPr>
          <w:rFonts w:eastAsia="Calibri"/>
          <w:spacing w:val="4"/>
        </w:rPr>
        <w:t>Sistem etanșare tip hidraulic cu garnitură tip O-ring captivă fără presarea mecanică a garniturii.</w:t>
      </w:r>
    </w:p>
    <w:p w:rsidR="002845E7" w:rsidRDefault="002845E7" w:rsidP="002845E7">
      <w:pPr>
        <w:widowControl w:val="0"/>
        <w:autoSpaceDE w:val="0"/>
        <w:spacing w:line="276" w:lineRule="auto"/>
        <w:ind w:left="360"/>
        <w:jc w:val="both"/>
        <w:rPr>
          <w:rFonts w:eastAsia="Calibri"/>
          <w:spacing w:val="4"/>
        </w:rPr>
      </w:pPr>
      <w:r>
        <w:rPr>
          <w:rFonts w:eastAsia="Calibri"/>
          <w:spacing w:val="4"/>
        </w:rPr>
        <w:t>Asamblarea fitingului cu țeava PEHD fără detașarea piuliței, doar deșurubarea acesteia.</w:t>
      </w:r>
    </w:p>
    <w:p w:rsidR="002845E7" w:rsidRDefault="002845E7" w:rsidP="002845E7">
      <w:pPr>
        <w:widowControl w:val="0"/>
        <w:autoSpaceDE w:val="0"/>
        <w:spacing w:line="276" w:lineRule="auto"/>
        <w:ind w:left="360"/>
        <w:jc w:val="both"/>
        <w:rPr>
          <w:rFonts w:eastAsia="Calibri"/>
        </w:rPr>
      </w:pPr>
      <w:r>
        <w:rPr>
          <w:rFonts w:eastAsia="Calibri"/>
        </w:rPr>
        <w:t>Fitingurile vor fi însoțite de Agrement și Aviz Tehnic,  Aviz sanitar/Notificare emisă de către Ministerul Sănătății (Institutul Național de Sănătate Publică) pentru utilizarea produselor în rețelele de alimentare cu apă potabilă.</w:t>
      </w:r>
    </w:p>
    <w:p w:rsidR="002845E7" w:rsidRDefault="002845E7" w:rsidP="004A5110">
      <w:pPr>
        <w:widowControl w:val="0"/>
        <w:autoSpaceDE w:val="0"/>
        <w:spacing w:line="276" w:lineRule="auto"/>
        <w:ind w:firstLine="360"/>
      </w:pPr>
      <w:r>
        <w:rPr>
          <w:rFonts w:eastAsia="Calibri"/>
        </w:rPr>
        <w:t>Garanție 24 luni de la livrare</w:t>
      </w:r>
    </w:p>
    <w:p w:rsidR="002845E7" w:rsidRDefault="002845E7" w:rsidP="002845E7">
      <w:pPr>
        <w:spacing w:line="276" w:lineRule="auto"/>
        <w:ind w:left="720"/>
      </w:pPr>
    </w:p>
    <w:p w:rsidR="002845E7" w:rsidRDefault="002845E7" w:rsidP="002845E7">
      <w:pPr>
        <w:rPr>
          <w:bCs/>
          <w:sz w:val="20"/>
        </w:rPr>
      </w:pPr>
    </w:p>
    <w:p w:rsidR="002845E7" w:rsidRDefault="002845E7">
      <w:pPr>
        <w:rPr>
          <w:bCs/>
          <w:sz w:val="20"/>
        </w:rPr>
      </w:pPr>
    </w:p>
    <w:sectPr w:rsidR="002845E7" w:rsidSect="00BF39C9">
      <w:footerReference w:type="default" r:id="rId7"/>
      <w:pgSz w:w="11907" w:h="16840" w:code="9"/>
      <w:pgMar w:top="720" w:right="720" w:bottom="720" w:left="1440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D51" w:rsidRDefault="00F83D51">
      <w:r>
        <w:separator/>
      </w:r>
    </w:p>
  </w:endnote>
  <w:endnote w:type="continuationSeparator" w:id="0">
    <w:p w:rsidR="00F83D51" w:rsidRDefault="00F83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BF" w:rsidRDefault="00AE53BF">
    <w:pPr>
      <w:pStyle w:val="Footer"/>
      <w:tabs>
        <w:tab w:val="left" w:pos="8010"/>
        <w:tab w:val="left" w:pos="8820"/>
      </w:tabs>
      <w:rPr>
        <w:lang w:val="ro-RO"/>
      </w:rPr>
    </w:pPr>
    <w:r>
      <w:rPr>
        <w:lang w:val="ro-RO"/>
      </w:rPr>
      <w:t>_________________________________________________________________________________________________</w:t>
    </w:r>
  </w:p>
  <w:p w:rsidR="00AE53BF" w:rsidRDefault="00AE53BF">
    <w:pPr>
      <w:pStyle w:val="Footer"/>
      <w:tabs>
        <w:tab w:val="left" w:pos="8010"/>
        <w:tab w:val="left" w:pos="8820"/>
      </w:tabs>
      <w:rPr>
        <w:lang w:val="ro-RO"/>
      </w:rPr>
    </w:pPr>
    <w:r>
      <w:rPr>
        <w:lang w:val="ro-RO"/>
      </w:rPr>
      <w:t>DD-13</w:t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  <w:t xml:space="preserve">                  </w:t>
    </w:r>
    <w:r>
      <w:rPr>
        <w:b/>
      </w:rPr>
      <w:t xml:space="preserve"> </w:t>
    </w:r>
    <w:proofErr w:type="spellStart"/>
    <w:r>
      <w:t>Pag</w:t>
    </w:r>
    <w:proofErr w:type="spellEnd"/>
    <w:r>
      <w:t>.</w:t>
    </w:r>
    <w:r>
      <w:rPr>
        <w:b/>
      </w:rPr>
      <w:t xml:space="preserve"> </w:t>
    </w:r>
    <w:fldSimple w:instr=" PAGE ">
      <w:r w:rsidR="004A5110">
        <w:rPr>
          <w:noProof/>
        </w:rPr>
        <w:t>1</w:t>
      </w:r>
    </w:fldSimple>
    <w:r>
      <w:t>/</w:t>
    </w:r>
    <w:r w:rsidR="004A5110"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D51" w:rsidRDefault="00F83D51">
      <w:r>
        <w:separator/>
      </w:r>
    </w:p>
  </w:footnote>
  <w:footnote w:type="continuationSeparator" w:id="0">
    <w:p w:rsidR="00F83D51" w:rsidRDefault="00F83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3F6D"/>
    <w:multiLevelType w:val="hybridMultilevel"/>
    <w:tmpl w:val="F4723CDC"/>
    <w:lvl w:ilvl="0" w:tplc="0418000F">
      <w:start w:val="1"/>
      <w:numFmt w:val="decimal"/>
      <w:lvlText w:val="%1.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D732811"/>
    <w:multiLevelType w:val="hybridMultilevel"/>
    <w:tmpl w:val="C26883FE"/>
    <w:lvl w:ilvl="0" w:tplc="70AC0C2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E751FB"/>
    <w:multiLevelType w:val="hybridMultilevel"/>
    <w:tmpl w:val="A1664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41F3B"/>
    <w:multiLevelType w:val="hybridMultilevel"/>
    <w:tmpl w:val="B4301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4186F"/>
    <w:multiLevelType w:val="hybridMultilevel"/>
    <w:tmpl w:val="9798102E"/>
    <w:lvl w:ilvl="0" w:tplc="343A1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B7D45"/>
    <w:multiLevelType w:val="hybridMultilevel"/>
    <w:tmpl w:val="A20659D8"/>
    <w:lvl w:ilvl="0" w:tplc="3C90DA8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B6F7D"/>
    <w:rsid w:val="000033CA"/>
    <w:rsid w:val="0000707E"/>
    <w:rsid w:val="00017312"/>
    <w:rsid w:val="00031592"/>
    <w:rsid w:val="00037892"/>
    <w:rsid w:val="00047370"/>
    <w:rsid w:val="00053ADE"/>
    <w:rsid w:val="00063CD3"/>
    <w:rsid w:val="000B31BF"/>
    <w:rsid w:val="000B7B25"/>
    <w:rsid w:val="000D0A54"/>
    <w:rsid w:val="000F0A9F"/>
    <w:rsid w:val="000F1960"/>
    <w:rsid w:val="00124F95"/>
    <w:rsid w:val="00145D8F"/>
    <w:rsid w:val="00146658"/>
    <w:rsid w:val="00167A4B"/>
    <w:rsid w:val="00190714"/>
    <w:rsid w:val="001B6D97"/>
    <w:rsid w:val="00200C05"/>
    <w:rsid w:val="00200D17"/>
    <w:rsid w:val="00231971"/>
    <w:rsid w:val="00244AD1"/>
    <w:rsid w:val="0024519D"/>
    <w:rsid w:val="00246987"/>
    <w:rsid w:val="00250B62"/>
    <w:rsid w:val="00260068"/>
    <w:rsid w:val="00271479"/>
    <w:rsid w:val="00271E55"/>
    <w:rsid w:val="00277C11"/>
    <w:rsid w:val="00282D36"/>
    <w:rsid w:val="002845E7"/>
    <w:rsid w:val="002A4546"/>
    <w:rsid w:val="002C59D9"/>
    <w:rsid w:val="002D3CE8"/>
    <w:rsid w:val="002E197D"/>
    <w:rsid w:val="00307BB8"/>
    <w:rsid w:val="00307E52"/>
    <w:rsid w:val="00317980"/>
    <w:rsid w:val="003313AB"/>
    <w:rsid w:val="00333AC7"/>
    <w:rsid w:val="003A6920"/>
    <w:rsid w:val="003D0229"/>
    <w:rsid w:val="003D0F12"/>
    <w:rsid w:val="003D7BAB"/>
    <w:rsid w:val="003F55E3"/>
    <w:rsid w:val="00423B86"/>
    <w:rsid w:val="004629AF"/>
    <w:rsid w:val="00463C9D"/>
    <w:rsid w:val="004675CD"/>
    <w:rsid w:val="00473190"/>
    <w:rsid w:val="00487341"/>
    <w:rsid w:val="00497BD6"/>
    <w:rsid w:val="004A5110"/>
    <w:rsid w:val="004D57E8"/>
    <w:rsid w:val="004E1FD3"/>
    <w:rsid w:val="00500359"/>
    <w:rsid w:val="00510918"/>
    <w:rsid w:val="00514404"/>
    <w:rsid w:val="005250A2"/>
    <w:rsid w:val="00546328"/>
    <w:rsid w:val="00567EA2"/>
    <w:rsid w:val="005C4479"/>
    <w:rsid w:val="0067010D"/>
    <w:rsid w:val="006722E6"/>
    <w:rsid w:val="00690662"/>
    <w:rsid w:val="006B0BDB"/>
    <w:rsid w:val="006E53F3"/>
    <w:rsid w:val="006E5453"/>
    <w:rsid w:val="006F44D9"/>
    <w:rsid w:val="00703642"/>
    <w:rsid w:val="00712F8A"/>
    <w:rsid w:val="00722023"/>
    <w:rsid w:val="00752250"/>
    <w:rsid w:val="00773C11"/>
    <w:rsid w:val="00782E71"/>
    <w:rsid w:val="0078354F"/>
    <w:rsid w:val="007C0534"/>
    <w:rsid w:val="007F5C82"/>
    <w:rsid w:val="00820028"/>
    <w:rsid w:val="00874A91"/>
    <w:rsid w:val="008766C3"/>
    <w:rsid w:val="00883984"/>
    <w:rsid w:val="008960EC"/>
    <w:rsid w:val="00896251"/>
    <w:rsid w:val="008B7D43"/>
    <w:rsid w:val="008D1FA1"/>
    <w:rsid w:val="008D5F0E"/>
    <w:rsid w:val="008E6083"/>
    <w:rsid w:val="008F20DF"/>
    <w:rsid w:val="008F77A1"/>
    <w:rsid w:val="00900871"/>
    <w:rsid w:val="0091336F"/>
    <w:rsid w:val="00926062"/>
    <w:rsid w:val="00930C7C"/>
    <w:rsid w:val="009418D6"/>
    <w:rsid w:val="00946CC0"/>
    <w:rsid w:val="0096584E"/>
    <w:rsid w:val="00967BFE"/>
    <w:rsid w:val="009A0FB7"/>
    <w:rsid w:val="009D052F"/>
    <w:rsid w:val="009E2C1A"/>
    <w:rsid w:val="00A07265"/>
    <w:rsid w:val="00A12CDD"/>
    <w:rsid w:val="00A13DB4"/>
    <w:rsid w:val="00A15F24"/>
    <w:rsid w:val="00A21F22"/>
    <w:rsid w:val="00A2465F"/>
    <w:rsid w:val="00A25C77"/>
    <w:rsid w:val="00A324C6"/>
    <w:rsid w:val="00A71D2A"/>
    <w:rsid w:val="00A8276F"/>
    <w:rsid w:val="00AA08AF"/>
    <w:rsid w:val="00AB6F7D"/>
    <w:rsid w:val="00AD55EC"/>
    <w:rsid w:val="00AE53BF"/>
    <w:rsid w:val="00AE5A60"/>
    <w:rsid w:val="00AF58BD"/>
    <w:rsid w:val="00B152FE"/>
    <w:rsid w:val="00B25E0C"/>
    <w:rsid w:val="00B5272A"/>
    <w:rsid w:val="00B57F93"/>
    <w:rsid w:val="00B73A27"/>
    <w:rsid w:val="00B85708"/>
    <w:rsid w:val="00BB7F52"/>
    <w:rsid w:val="00BC7C4F"/>
    <w:rsid w:val="00BD0328"/>
    <w:rsid w:val="00BD4D1F"/>
    <w:rsid w:val="00BE5C3F"/>
    <w:rsid w:val="00BF39C9"/>
    <w:rsid w:val="00BF609C"/>
    <w:rsid w:val="00BF7277"/>
    <w:rsid w:val="00C07B3F"/>
    <w:rsid w:val="00C12D4C"/>
    <w:rsid w:val="00C1650C"/>
    <w:rsid w:val="00C407DD"/>
    <w:rsid w:val="00C42E00"/>
    <w:rsid w:val="00C50F99"/>
    <w:rsid w:val="00C51CB8"/>
    <w:rsid w:val="00C92CC2"/>
    <w:rsid w:val="00CC424F"/>
    <w:rsid w:val="00CE27B9"/>
    <w:rsid w:val="00D03A0E"/>
    <w:rsid w:val="00D432E9"/>
    <w:rsid w:val="00D522A3"/>
    <w:rsid w:val="00D55EDD"/>
    <w:rsid w:val="00D61278"/>
    <w:rsid w:val="00D73E05"/>
    <w:rsid w:val="00D77046"/>
    <w:rsid w:val="00DB3037"/>
    <w:rsid w:val="00DC0846"/>
    <w:rsid w:val="00DC363F"/>
    <w:rsid w:val="00E13C59"/>
    <w:rsid w:val="00E1454A"/>
    <w:rsid w:val="00E325F2"/>
    <w:rsid w:val="00E607A1"/>
    <w:rsid w:val="00E63B0F"/>
    <w:rsid w:val="00E67512"/>
    <w:rsid w:val="00E822EC"/>
    <w:rsid w:val="00E838CF"/>
    <w:rsid w:val="00E9147E"/>
    <w:rsid w:val="00E95E4B"/>
    <w:rsid w:val="00EC2FD6"/>
    <w:rsid w:val="00ED0A5E"/>
    <w:rsid w:val="00ED1121"/>
    <w:rsid w:val="00EF513D"/>
    <w:rsid w:val="00F101C5"/>
    <w:rsid w:val="00F2198E"/>
    <w:rsid w:val="00F70818"/>
    <w:rsid w:val="00F8029C"/>
    <w:rsid w:val="00F83D51"/>
    <w:rsid w:val="00FD345A"/>
    <w:rsid w:val="00FD655B"/>
    <w:rsid w:val="00FF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C9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BF39C9"/>
    <w:pPr>
      <w:keepNext/>
      <w:jc w:val="center"/>
      <w:outlineLvl w:val="0"/>
    </w:pPr>
    <w:rPr>
      <w:i/>
      <w:sz w:val="16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A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F39C9"/>
    <w:rPr>
      <w:szCs w:val="20"/>
      <w:lang w:eastAsia="en-US"/>
    </w:rPr>
  </w:style>
  <w:style w:type="paragraph" w:styleId="Header">
    <w:name w:val="header"/>
    <w:basedOn w:val="Normal"/>
    <w:link w:val="HeaderChar"/>
    <w:rsid w:val="00BF39C9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paragraph" w:styleId="Footer">
    <w:name w:val="footer"/>
    <w:basedOn w:val="Normal"/>
    <w:semiHidden/>
    <w:rsid w:val="00BF39C9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semiHidden/>
    <w:rsid w:val="00BF39C9"/>
    <w:pPr>
      <w:spacing w:line="360" w:lineRule="auto"/>
      <w:jc w:val="both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8F77A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F77A1"/>
    <w:rPr>
      <w:sz w:val="16"/>
      <w:szCs w:val="16"/>
    </w:rPr>
  </w:style>
  <w:style w:type="character" w:customStyle="1" w:styleId="HeaderChar">
    <w:name w:val="Header Char"/>
    <w:link w:val="Header"/>
    <w:rsid w:val="000D0A54"/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F2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5F24"/>
    <w:rPr>
      <w:rFonts w:ascii="Segoe UI" w:hAnsi="Segoe UI" w:cs="Segoe UI"/>
      <w:sz w:val="18"/>
      <w:szCs w:val="18"/>
      <w:lang w:val="ro-RO" w:eastAsia="ro-RO"/>
    </w:rPr>
  </w:style>
  <w:style w:type="character" w:customStyle="1" w:styleId="Heading2Char">
    <w:name w:val="Heading 2 Char"/>
    <w:link w:val="Heading2"/>
    <w:uiPriority w:val="9"/>
    <w:semiHidden/>
    <w:rsid w:val="00167A4B"/>
    <w:rPr>
      <w:rFonts w:ascii="Calibri Light" w:eastAsia="Times New Roman" w:hAnsi="Calibri Light" w:cs="Times New Roman"/>
      <w:b/>
      <w:bCs/>
      <w:i/>
      <w:iCs/>
      <w:sz w:val="28"/>
      <w:szCs w:val="28"/>
      <w:lang w:val="ro-RO" w:eastAsia="ro-RO"/>
    </w:rPr>
  </w:style>
  <w:style w:type="character" w:styleId="Strong">
    <w:name w:val="Strong"/>
    <w:rsid w:val="00167A4B"/>
    <w:rPr>
      <w:b/>
      <w:bCs/>
    </w:rPr>
  </w:style>
  <w:style w:type="paragraph" w:customStyle="1" w:styleId="Frspaiere">
    <w:name w:val="Fără spațiere"/>
    <w:rsid w:val="00167A4B"/>
    <w:pPr>
      <w:suppressAutoHyphens/>
      <w:autoSpaceDN w:val="0"/>
      <w:textAlignment w:val="baseline"/>
    </w:pPr>
    <w:rPr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</vt:lpstr>
      <vt:lpstr>R</vt:lpstr>
    </vt:vector>
  </TitlesOfParts>
  <Company>R.A. APATERM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lucacil</dc:creator>
  <cp:lastModifiedBy>simc</cp:lastModifiedBy>
  <cp:revision>3</cp:revision>
  <cp:lastPrinted>2021-11-24T12:03:00Z</cp:lastPrinted>
  <dcterms:created xsi:type="dcterms:W3CDTF">2022-01-25T06:44:00Z</dcterms:created>
  <dcterms:modified xsi:type="dcterms:W3CDTF">2022-01-25T06:44:00Z</dcterms:modified>
</cp:coreProperties>
</file>