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DE2" w:rsidRDefault="004D4DE2" w:rsidP="004D4DE2">
      <w:pPr>
        <w:spacing w:line="276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ANEXA</w:t>
      </w:r>
    </w:p>
    <w:p w:rsidR="004D4DE2" w:rsidRDefault="004D4DE2">
      <w:pPr>
        <w:spacing w:line="276" w:lineRule="auto"/>
        <w:jc w:val="center"/>
        <w:rPr>
          <w:b/>
          <w:sz w:val="28"/>
          <w:szCs w:val="28"/>
        </w:rPr>
      </w:pPr>
    </w:p>
    <w:p w:rsidR="004D4DE2" w:rsidRDefault="004D4DE2">
      <w:pPr>
        <w:spacing w:line="276" w:lineRule="auto"/>
        <w:jc w:val="center"/>
        <w:rPr>
          <w:b/>
          <w:sz w:val="28"/>
          <w:szCs w:val="28"/>
        </w:rPr>
      </w:pPr>
    </w:p>
    <w:p w:rsidR="00162CB2" w:rsidRDefault="004D4DE2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CARACTERISTICI TEHNICE</w:t>
      </w:r>
    </w:p>
    <w:p w:rsidR="00162CB2" w:rsidRDefault="004D4DE2">
      <w:pPr>
        <w:pStyle w:val="Heading2"/>
        <w:spacing w:line="276" w:lineRule="auto"/>
      </w:pPr>
      <w:r>
        <w:rPr>
          <w:b/>
          <w:szCs w:val="28"/>
        </w:rPr>
        <w:t>Mufă universală îmbinare conducte</w:t>
      </w:r>
    </w:p>
    <w:p w:rsidR="00162CB2" w:rsidRDefault="00162CB2">
      <w:pPr>
        <w:spacing w:line="276" w:lineRule="auto"/>
        <w:rPr>
          <w:b/>
          <w:bCs/>
        </w:rPr>
      </w:pPr>
    </w:p>
    <w:p w:rsidR="00162CB2" w:rsidRDefault="00162CB2">
      <w:pPr>
        <w:spacing w:line="276" w:lineRule="auto"/>
        <w:rPr>
          <w:b/>
          <w:bCs/>
        </w:rPr>
      </w:pPr>
    </w:p>
    <w:p w:rsidR="00162CB2" w:rsidRPr="004D4DE2" w:rsidRDefault="004D4DE2">
      <w:pPr>
        <w:pStyle w:val="Frspaiere"/>
        <w:spacing w:line="276" w:lineRule="auto"/>
        <w:rPr>
          <w:b/>
        </w:rPr>
      </w:pPr>
      <w:r w:rsidRPr="004D4DE2">
        <w:rPr>
          <w:b/>
        </w:rPr>
        <w:t>ELEMENTE GENERALE</w:t>
      </w:r>
    </w:p>
    <w:p w:rsidR="00162CB2" w:rsidRPr="004D4DE2" w:rsidRDefault="00162CB2">
      <w:pPr>
        <w:pStyle w:val="Frspaiere"/>
        <w:spacing w:line="276" w:lineRule="auto"/>
        <w:rPr>
          <w:b/>
        </w:rPr>
      </w:pPr>
    </w:p>
    <w:p w:rsidR="00162CB2" w:rsidRPr="004D4DE2" w:rsidRDefault="004D4DE2">
      <w:pPr>
        <w:pStyle w:val="Frspaiere"/>
        <w:spacing w:line="276" w:lineRule="auto"/>
        <w:jc w:val="both"/>
      </w:pPr>
      <w:r w:rsidRPr="004D4DE2">
        <w:rPr>
          <w:rStyle w:val="Strong"/>
          <w:b w:val="0"/>
          <w:bCs w:val="0"/>
        </w:rPr>
        <w:t>Mufele universale sunt fitinguri de îmbinare prin strângere care permite trecerea de la un diametru de țeavă PEHD, la o gamă de diametre din alte materiale: oțel, cupru, plumb, PVC, etc.</w:t>
      </w:r>
      <w:r w:rsidRPr="004D4DE2">
        <w:t xml:space="preserve"> Acestea sunt utilizate în instalațiile de alimentare cu apă rece, sau instalații interioare aferente clădirilor și au rol de a ușura munca și de a reduce timpul de execuție.</w:t>
      </w:r>
    </w:p>
    <w:p w:rsidR="00162CB2" w:rsidRPr="004D4DE2" w:rsidRDefault="00162CB2">
      <w:pPr>
        <w:spacing w:line="276" w:lineRule="auto"/>
      </w:pPr>
    </w:p>
    <w:p w:rsidR="00162CB2" w:rsidRPr="004D4DE2" w:rsidRDefault="004D4DE2">
      <w:pPr>
        <w:spacing w:line="276" w:lineRule="auto"/>
        <w:rPr>
          <w:rFonts w:eastAsia="Calibri"/>
          <w:b/>
        </w:rPr>
      </w:pPr>
      <w:r w:rsidRPr="004D4DE2">
        <w:rPr>
          <w:rFonts w:eastAsia="Calibri"/>
          <w:b/>
        </w:rPr>
        <w:t xml:space="preserve">PARAMETRII TEHNICI ȘI FUNCȚIONALI </w:t>
      </w:r>
    </w:p>
    <w:p w:rsidR="00162CB2" w:rsidRPr="004D4DE2" w:rsidRDefault="00162CB2">
      <w:pPr>
        <w:spacing w:line="276" w:lineRule="auto"/>
        <w:rPr>
          <w:rFonts w:eastAsia="Calibri"/>
          <w:b/>
        </w:rPr>
      </w:pPr>
    </w:p>
    <w:p w:rsidR="00162CB2" w:rsidRPr="004D4DE2" w:rsidRDefault="004D4DE2">
      <w:pPr>
        <w:widowControl w:val="0"/>
        <w:autoSpaceDE w:val="0"/>
        <w:spacing w:line="276" w:lineRule="auto"/>
      </w:pPr>
      <w:r w:rsidRPr="004D4DE2">
        <w:rPr>
          <w:rFonts w:eastAsia="Calibri"/>
          <w:color w:val="000000"/>
          <w:spacing w:val="-2"/>
        </w:rPr>
        <w:t>Corp</w:t>
      </w:r>
      <w:r w:rsidRPr="004D4DE2">
        <w:rPr>
          <w:rFonts w:eastAsia="Calibri"/>
          <w:color w:val="000000"/>
        </w:rPr>
        <w:t>:</w:t>
      </w:r>
      <w:r w:rsidRPr="004D4DE2">
        <w:rPr>
          <w:rFonts w:eastAsia="Calibri"/>
          <w:color w:val="000000"/>
          <w:spacing w:val="-4"/>
        </w:rPr>
        <w:t xml:space="preserve"> </w:t>
      </w:r>
      <w:r w:rsidRPr="004D4DE2">
        <w:rPr>
          <w:rFonts w:eastAsia="Calibri"/>
          <w:color w:val="000000"/>
        </w:rPr>
        <w:t>Polipropilenă,</w:t>
      </w:r>
      <w:r w:rsidRPr="004D4DE2">
        <w:rPr>
          <w:rFonts w:eastAsia="Calibri"/>
          <w:color w:val="000000"/>
          <w:spacing w:val="-4"/>
        </w:rPr>
        <w:t xml:space="preserve"> </w:t>
      </w:r>
      <w:r w:rsidRPr="004D4DE2">
        <w:rPr>
          <w:rFonts w:eastAsia="Calibri"/>
          <w:color w:val="000000"/>
          <w:spacing w:val="-1"/>
        </w:rPr>
        <w:t>copolimer</w:t>
      </w:r>
      <w:r w:rsidRPr="004D4DE2">
        <w:rPr>
          <w:rFonts w:eastAsia="Calibri"/>
          <w:color w:val="000000"/>
          <w:spacing w:val="-4"/>
        </w:rPr>
        <w:t xml:space="preserve"> </w:t>
      </w:r>
      <w:r w:rsidRPr="004D4DE2">
        <w:rPr>
          <w:rFonts w:eastAsia="Calibri"/>
          <w:color w:val="000000"/>
          <w:spacing w:val="-2"/>
        </w:rPr>
        <w:t>de</w:t>
      </w:r>
      <w:r w:rsidRPr="004D4DE2">
        <w:rPr>
          <w:rFonts w:eastAsia="Calibri"/>
          <w:color w:val="000000"/>
        </w:rPr>
        <w:t xml:space="preserve"> înaltă</w:t>
      </w:r>
      <w:r w:rsidRPr="004D4DE2">
        <w:rPr>
          <w:rFonts w:eastAsia="Calibri"/>
          <w:color w:val="000000"/>
          <w:spacing w:val="-7"/>
        </w:rPr>
        <w:t xml:space="preserve"> </w:t>
      </w:r>
      <w:r w:rsidRPr="004D4DE2">
        <w:rPr>
          <w:rFonts w:eastAsia="Calibri"/>
          <w:color w:val="000000"/>
        </w:rPr>
        <w:t>calitate.</w:t>
      </w:r>
    </w:p>
    <w:p w:rsidR="00162CB2" w:rsidRPr="004D4DE2" w:rsidRDefault="004D4DE2">
      <w:pPr>
        <w:widowControl w:val="0"/>
        <w:autoSpaceDE w:val="0"/>
        <w:spacing w:line="276" w:lineRule="auto"/>
      </w:pPr>
      <w:r w:rsidRPr="004D4DE2">
        <w:rPr>
          <w:rFonts w:eastAsia="Calibri"/>
          <w:color w:val="000000"/>
        </w:rPr>
        <w:t>Piulița: Polipropilenă, copolimer de înaltă calitate.</w:t>
      </w:r>
    </w:p>
    <w:p w:rsidR="00162CB2" w:rsidRPr="004D4DE2" w:rsidRDefault="004D4DE2">
      <w:pPr>
        <w:widowControl w:val="0"/>
        <w:autoSpaceDE w:val="0"/>
        <w:spacing w:line="276" w:lineRule="auto"/>
      </w:pPr>
      <w:r w:rsidRPr="004D4DE2">
        <w:rPr>
          <w:rFonts w:eastAsia="Calibri"/>
          <w:color w:val="000000"/>
        </w:rPr>
        <w:t>G</w:t>
      </w:r>
      <w:r w:rsidRPr="004D4DE2">
        <w:rPr>
          <w:rFonts w:eastAsia="Calibri"/>
          <w:color w:val="000000"/>
          <w:spacing w:val="3"/>
        </w:rPr>
        <w:t>arnitură</w:t>
      </w:r>
      <w:r w:rsidRPr="004D4DE2">
        <w:rPr>
          <w:rFonts w:eastAsia="Calibri"/>
          <w:color w:val="000000"/>
          <w:spacing w:val="4"/>
        </w:rPr>
        <w:t xml:space="preserve"> </w:t>
      </w:r>
      <w:r w:rsidRPr="004D4DE2">
        <w:rPr>
          <w:rFonts w:eastAsia="Calibri"/>
          <w:color w:val="000000"/>
          <w:spacing w:val="3"/>
        </w:rPr>
        <w:t>inel</w:t>
      </w:r>
      <w:r w:rsidRPr="004D4DE2">
        <w:rPr>
          <w:rFonts w:eastAsia="Calibri"/>
          <w:color w:val="000000"/>
          <w:spacing w:val="7"/>
        </w:rPr>
        <w:t xml:space="preserve"> </w:t>
      </w:r>
      <w:r w:rsidRPr="004D4DE2">
        <w:rPr>
          <w:rFonts w:eastAsia="Calibri"/>
          <w:color w:val="000000"/>
          <w:spacing w:val="3"/>
        </w:rPr>
        <w:t>despicat: polioacetal, sau POM, sau CPVC.</w:t>
      </w:r>
    </w:p>
    <w:p w:rsidR="00162CB2" w:rsidRPr="004D4DE2" w:rsidRDefault="004D4DE2">
      <w:pPr>
        <w:widowControl w:val="0"/>
        <w:autoSpaceDE w:val="0"/>
        <w:spacing w:line="276" w:lineRule="auto"/>
        <w:jc w:val="both"/>
      </w:pPr>
      <w:r w:rsidRPr="004D4DE2">
        <w:rPr>
          <w:rFonts w:eastAsia="Calibri"/>
          <w:color w:val="000000"/>
          <w:spacing w:val="4"/>
        </w:rPr>
        <w:t>Garnitură tip O-</w:t>
      </w:r>
      <w:r w:rsidRPr="004D4DE2">
        <w:rPr>
          <w:rFonts w:eastAsia="Calibri"/>
          <w:spacing w:val="4"/>
        </w:rPr>
        <w:t>ring:</w:t>
      </w:r>
      <w:r w:rsidRPr="004D4DE2">
        <w:rPr>
          <w:rFonts w:eastAsia="Calibri"/>
        </w:rPr>
        <w:t xml:space="preserve"> </w:t>
      </w:r>
      <w:r w:rsidRPr="004D4DE2">
        <w:rPr>
          <w:rFonts w:eastAsia="Calibri"/>
          <w:spacing w:val="3"/>
        </w:rPr>
        <w:t>cauciuc</w:t>
      </w:r>
      <w:r w:rsidRPr="004D4DE2">
        <w:rPr>
          <w:rFonts w:eastAsia="Calibri"/>
          <w:spacing w:val="18"/>
        </w:rPr>
        <w:t xml:space="preserve"> </w:t>
      </w:r>
      <w:r w:rsidRPr="004D4DE2">
        <w:rPr>
          <w:rFonts w:eastAsia="Calibri"/>
          <w:spacing w:val="5"/>
        </w:rPr>
        <w:t>nitrilic</w:t>
      </w:r>
      <w:r w:rsidRPr="004D4DE2">
        <w:rPr>
          <w:rFonts w:eastAsia="Calibri"/>
          <w:spacing w:val="16"/>
        </w:rPr>
        <w:t xml:space="preserve"> </w:t>
      </w:r>
      <w:r w:rsidRPr="004D4DE2">
        <w:rPr>
          <w:rFonts w:eastAsia="Calibri"/>
          <w:spacing w:val="2"/>
        </w:rPr>
        <w:t xml:space="preserve">NBR, </w:t>
      </w:r>
      <w:r w:rsidRPr="004D4DE2">
        <w:rPr>
          <w:rFonts w:eastAsia="Calibri"/>
          <w:spacing w:val="5"/>
        </w:rPr>
        <w:t>sau</w:t>
      </w:r>
      <w:r w:rsidRPr="004D4DE2">
        <w:rPr>
          <w:rFonts w:eastAsia="Calibri"/>
          <w:spacing w:val="4"/>
        </w:rPr>
        <w:t xml:space="preserve"> </w:t>
      </w:r>
      <w:r w:rsidRPr="004D4DE2">
        <w:rPr>
          <w:rFonts w:eastAsia="Calibri"/>
          <w:spacing w:val="1"/>
        </w:rPr>
        <w:t>EPDM,</w:t>
      </w:r>
      <w:r w:rsidRPr="004D4DE2">
        <w:rPr>
          <w:rFonts w:eastAsia="Calibri"/>
          <w:spacing w:val="23"/>
        </w:rPr>
        <w:t xml:space="preserve"> sau </w:t>
      </w:r>
      <w:r w:rsidRPr="004D4DE2">
        <w:rPr>
          <w:rFonts w:eastAsia="Calibri"/>
          <w:spacing w:val="2"/>
        </w:rPr>
        <w:t>FPM</w:t>
      </w:r>
      <w:r w:rsidRPr="004D4DE2">
        <w:rPr>
          <w:rFonts w:eastAsia="Calibri"/>
          <w:spacing w:val="4"/>
        </w:rPr>
        <w:t>.</w:t>
      </w:r>
    </w:p>
    <w:p w:rsidR="00162CB2" w:rsidRPr="004D4DE2" w:rsidRDefault="004D4DE2">
      <w:pPr>
        <w:widowControl w:val="0"/>
        <w:autoSpaceDE w:val="0"/>
        <w:spacing w:line="276" w:lineRule="auto"/>
        <w:jc w:val="both"/>
        <w:rPr>
          <w:rFonts w:eastAsia="Calibri"/>
          <w:color w:val="000000"/>
          <w:spacing w:val="4"/>
        </w:rPr>
      </w:pPr>
      <w:r w:rsidRPr="004D4DE2">
        <w:rPr>
          <w:rFonts w:eastAsia="Calibri"/>
          <w:color w:val="000000"/>
          <w:spacing w:val="4"/>
        </w:rPr>
        <w:t xml:space="preserve">Presiune nominală 16 bar. </w:t>
      </w:r>
    </w:p>
    <w:p w:rsidR="00162CB2" w:rsidRPr="004D4DE2" w:rsidRDefault="004D4DE2">
      <w:pPr>
        <w:widowControl w:val="0"/>
        <w:autoSpaceDE w:val="0"/>
        <w:spacing w:line="276" w:lineRule="auto"/>
        <w:rPr>
          <w:rFonts w:eastAsia="Calibri"/>
          <w:color w:val="000000"/>
          <w:spacing w:val="4"/>
        </w:rPr>
      </w:pPr>
      <w:r w:rsidRPr="004D4DE2">
        <w:rPr>
          <w:rFonts w:eastAsia="Calibri"/>
          <w:color w:val="000000"/>
          <w:spacing w:val="4"/>
        </w:rPr>
        <w:t>Sistem de etanșare tip hidraulic.</w:t>
      </w:r>
    </w:p>
    <w:p w:rsidR="00162CB2" w:rsidRPr="004D4DE2" w:rsidRDefault="00162CB2">
      <w:pPr>
        <w:widowControl w:val="0"/>
        <w:autoSpaceDE w:val="0"/>
        <w:spacing w:line="276" w:lineRule="auto"/>
        <w:rPr>
          <w:rFonts w:eastAsia="Calibri"/>
          <w:color w:val="000000"/>
          <w:spacing w:val="4"/>
        </w:rPr>
      </w:pPr>
    </w:p>
    <w:p w:rsidR="00162CB2" w:rsidRPr="004D4DE2" w:rsidRDefault="004D4DE2">
      <w:pPr>
        <w:spacing w:line="276" w:lineRule="auto"/>
        <w:rPr>
          <w:rFonts w:eastAsia="Calibri"/>
          <w:b/>
        </w:rPr>
      </w:pPr>
      <w:r w:rsidRPr="004D4DE2">
        <w:rPr>
          <w:rFonts w:eastAsia="Calibri"/>
          <w:b/>
        </w:rPr>
        <w:t xml:space="preserve">SPECIFICAȚII DE PERFORMANȚĂ </w:t>
      </w:r>
    </w:p>
    <w:p w:rsidR="00162CB2" w:rsidRPr="004D4DE2" w:rsidRDefault="00162CB2">
      <w:pPr>
        <w:spacing w:line="276" w:lineRule="auto"/>
        <w:rPr>
          <w:rFonts w:eastAsia="Calibri"/>
          <w:b/>
        </w:rPr>
      </w:pPr>
    </w:p>
    <w:p w:rsidR="00162CB2" w:rsidRPr="004D4DE2" w:rsidRDefault="004D4DE2">
      <w:pPr>
        <w:widowControl w:val="0"/>
        <w:autoSpaceDE w:val="0"/>
        <w:spacing w:line="276" w:lineRule="auto"/>
        <w:jc w:val="both"/>
        <w:rPr>
          <w:rFonts w:eastAsia="Calibri"/>
          <w:spacing w:val="4"/>
        </w:rPr>
      </w:pPr>
      <w:r w:rsidRPr="004D4DE2">
        <w:rPr>
          <w:rFonts w:eastAsia="Calibri"/>
          <w:spacing w:val="4"/>
        </w:rPr>
        <w:t xml:space="preserve">Racordarea se efectuează simplu, fără demontarea piuliței, a garniturii de etanșare și a inelului de prindere.  </w:t>
      </w:r>
    </w:p>
    <w:p w:rsidR="00162CB2" w:rsidRPr="004D4DE2" w:rsidRDefault="004D4DE2">
      <w:pPr>
        <w:widowControl w:val="0"/>
        <w:autoSpaceDE w:val="0"/>
        <w:spacing w:line="276" w:lineRule="auto"/>
        <w:jc w:val="both"/>
      </w:pPr>
      <w:r w:rsidRPr="004D4DE2">
        <w:rPr>
          <w:rFonts w:eastAsia="Calibri"/>
          <w:spacing w:val="4"/>
        </w:rPr>
        <w:t xml:space="preserve">Permite trecerea de la un diametru de țeavă PEHD, la </w:t>
      </w:r>
      <w:r w:rsidRPr="004D4DE2">
        <w:rPr>
          <w:rStyle w:val="Strong"/>
          <w:b w:val="0"/>
          <w:bCs w:val="0"/>
        </w:rPr>
        <w:t>o gamă de diametre din alte materiale: oțel, cupru, plumb, PVC, etc</w:t>
      </w:r>
      <w:r>
        <w:rPr>
          <w:rStyle w:val="Strong"/>
          <w:b w:val="0"/>
          <w:bCs w:val="0"/>
        </w:rPr>
        <w:t>.</w:t>
      </w:r>
    </w:p>
    <w:p w:rsidR="00162CB2" w:rsidRPr="004D4DE2" w:rsidRDefault="004D4DE2">
      <w:pPr>
        <w:widowControl w:val="0"/>
        <w:autoSpaceDE w:val="0"/>
        <w:spacing w:line="276" w:lineRule="auto"/>
        <w:jc w:val="both"/>
        <w:rPr>
          <w:rFonts w:eastAsia="Calibri"/>
        </w:rPr>
      </w:pPr>
      <w:r w:rsidRPr="004D4DE2">
        <w:rPr>
          <w:rFonts w:eastAsia="Calibri"/>
        </w:rPr>
        <w:t>Mufele vor fi însoțite de Agrement și Aviz Tehnic,  Aviz sanitar/Notificare emisă de către Ministerul Sănătății (Institutul Național de Sănătate Publică) pentru utilizarea produselor în rețelele de alimentare cu apă potabilă.</w:t>
      </w:r>
    </w:p>
    <w:p w:rsidR="001A59A0" w:rsidRDefault="001A59A0">
      <w:pPr>
        <w:widowControl w:val="0"/>
        <w:autoSpaceDE w:val="0"/>
        <w:spacing w:line="276" w:lineRule="auto"/>
        <w:rPr>
          <w:rFonts w:eastAsia="Calibri"/>
        </w:rPr>
      </w:pPr>
    </w:p>
    <w:p w:rsidR="00162CB2" w:rsidRPr="004D4DE2" w:rsidRDefault="004D4DE2">
      <w:pPr>
        <w:widowControl w:val="0"/>
        <w:autoSpaceDE w:val="0"/>
        <w:spacing w:line="276" w:lineRule="auto"/>
      </w:pPr>
      <w:r w:rsidRPr="004D4DE2">
        <w:rPr>
          <w:rFonts w:eastAsia="Calibri"/>
        </w:rPr>
        <w:t>Garanție 24 luni de la livrare.</w:t>
      </w:r>
    </w:p>
    <w:p w:rsidR="00162CB2" w:rsidRPr="004D4DE2" w:rsidRDefault="00162CB2"/>
    <w:sectPr w:rsidR="00162CB2" w:rsidRPr="004D4DE2" w:rsidSect="004D4DE2">
      <w:pgSz w:w="12240" w:h="15840"/>
      <w:pgMar w:top="1440" w:right="90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DE2" w:rsidRDefault="004D4DE2" w:rsidP="00162CB2">
      <w:r>
        <w:separator/>
      </w:r>
    </w:p>
  </w:endnote>
  <w:endnote w:type="continuationSeparator" w:id="0">
    <w:p w:rsidR="004D4DE2" w:rsidRDefault="004D4DE2" w:rsidP="00162C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DE2" w:rsidRDefault="004D4DE2" w:rsidP="00162CB2">
      <w:r w:rsidRPr="00162CB2">
        <w:rPr>
          <w:color w:val="000000"/>
        </w:rPr>
        <w:separator/>
      </w:r>
    </w:p>
  </w:footnote>
  <w:footnote w:type="continuationSeparator" w:id="0">
    <w:p w:rsidR="004D4DE2" w:rsidRDefault="004D4DE2" w:rsidP="00162C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2CB2"/>
    <w:rsid w:val="0016150C"/>
    <w:rsid w:val="00162CB2"/>
    <w:rsid w:val="001A59A0"/>
    <w:rsid w:val="004676F1"/>
    <w:rsid w:val="004D4DE2"/>
    <w:rsid w:val="009641A6"/>
    <w:rsid w:val="00F36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62CB2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Heading2">
    <w:name w:val="heading 2"/>
    <w:basedOn w:val="Normal"/>
    <w:next w:val="Normal"/>
    <w:rsid w:val="00162CB2"/>
    <w:pPr>
      <w:keepNext/>
      <w:jc w:val="center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rsid w:val="00162CB2"/>
    <w:rPr>
      <w:rFonts w:ascii="Times New Roman" w:eastAsia="Times New Roman" w:hAnsi="Times New Roman" w:cs="Times New Roman"/>
      <w:sz w:val="28"/>
      <w:szCs w:val="24"/>
      <w:lang w:val="ro-RO" w:eastAsia="ro-RO"/>
    </w:rPr>
  </w:style>
  <w:style w:type="character" w:styleId="Strong">
    <w:name w:val="Strong"/>
    <w:rsid w:val="00162CB2"/>
    <w:rPr>
      <w:b/>
      <w:bCs/>
    </w:rPr>
  </w:style>
  <w:style w:type="paragraph" w:customStyle="1" w:styleId="Frspaiere">
    <w:name w:val="Fără spațiere"/>
    <w:rsid w:val="00162CB2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Danșa Laurențiu</dc:creator>
  <cp:lastModifiedBy>simc</cp:lastModifiedBy>
  <cp:revision>5</cp:revision>
  <dcterms:created xsi:type="dcterms:W3CDTF">2021-09-20T05:56:00Z</dcterms:created>
  <dcterms:modified xsi:type="dcterms:W3CDTF">2021-09-20T06:44:00Z</dcterms:modified>
</cp:coreProperties>
</file>